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451DB" w14:textId="77777777" w:rsidR="001C6DE0" w:rsidRPr="001C6DE0" w:rsidRDefault="001C6DE0" w:rsidP="001C6DE0">
      <w:pPr>
        <w:spacing w:after="0" w:line="440" w:lineRule="atLeast"/>
        <w:ind w:firstLine="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 xml:space="preserve">Indeed, the values, attitudes, and personalities of employees influence work satisfaction and motivation.  Specifically, as it relates to the personality traits of individuals and their satisfaction with work, </w:t>
      </w:r>
      <w:proofErr w:type="spellStart"/>
      <w:r w:rsidRPr="001C6DE0">
        <w:rPr>
          <w:rFonts w:ascii="Times New Roman" w:eastAsia="Times New Roman" w:hAnsi="Times New Roman" w:cs="Times New Roman"/>
          <w:color w:val="000000"/>
          <w:sz w:val="24"/>
          <w:szCs w:val="24"/>
          <w:bdr w:val="none" w:sz="0" w:space="0" w:color="auto" w:frame="1"/>
        </w:rPr>
        <w:t>Tett</w:t>
      </w:r>
      <w:proofErr w:type="spellEnd"/>
      <w:r w:rsidRPr="001C6DE0">
        <w:rPr>
          <w:rFonts w:ascii="Times New Roman" w:eastAsia="Times New Roman" w:hAnsi="Times New Roman" w:cs="Times New Roman"/>
          <w:color w:val="000000"/>
          <w:sz w:val="24"/>
          <w:szCs w:val="24"/>
          <w:bdr w:val="none" w:sz="0" w:space="0" w:color="auto" w:frame="1"/>
        </w:rPr>
        <w:t xml:space="preserve">, Jackson, and Rothstein (1991) posit that the personality trait of conscientiousness is a stable predictor of job ability and fulfillment.  Additionally, studies by Van den Berg and </w:t>
      </w:r>
      <w:proofErr w:type="spellStart"/>
      <w:r w:rsidRPr="001C6DE0">
        <w:rPr>
          <w:rFonts w:ascii="Times New Roman" w:eastAsia="Times New Roman" w:hAnsi="Times New Roman" w:cs="Times New Roman"/>
          <w:color w:val="000000"/>
          <w:sz w:val="24"/>
          <w:szCs w:val="24"/>
          <w:bdr w:val="none" w:sz="0" w:space="0" w:color="auto" w:frame="1"/>
        </w:rPr>
        <w:t>Feij</w:t>
      </w:r>
      <w:proofErr w:type="spellEnd"/>
      <w:r w:rsidRPr="001C6DE0">
        <w:rPr>
          <w:rFonts w:ascii="Times New Roman" w:eastAsia="Times New Roman" w:hAnsi="Times New Roman" w:cs="Times New Roman"/>
          <w:color w:val="000000"/>
          <w:sz w:val="24"/>
          <w:szCs w:val="24"/>
          <w:bdr w:val="none" w:sz="0" w:space="0" w:color="auto" w:frame="1"/>
        </w:rPr>
        <w:t xml:space="preserve"> (2003) support the correlation that conscientiousness, as a personality trait, is related to work performance and job satisfaction.  For example, a conscientious worker is more likely to perform at a higher level and be more satisfied with their work than a non-attentive employee.  Furthermore, </w:t>
      </w:r>
      <w:proofErr w:type="spellStart"/>
      <w:r w:rsidRPr="001C6DE0">
        <w:rPr>
          <w:rFonts w:ascii="Times New Roman" w:eastAsia="Times New Roman" w:hAnsi="Times New Roman" w:cs="Times New Roman"/>
          <w:color w:val="000000"/>
          <w:sz w:val="24"/>
          <w:szCs w:val="24"/>
          <w:bdr w:val="none" w:sz="0" w:space="0" w:color="auto" w:frame="1"/>
        </w:rPr>
        <w:t>Burkus</w:t>
      </w:r>
      <w:proofErr w:type="spellEnd"/>
      <w:r w:rsidRPr="001C6DE0">
        <w:rPr>
          <w:rFonts w:ascii="Times New Roman" w:eastAsia="Times New Roman" w:hAnsi="Times New Roman" w:cs="Times New Roman"/>
          <w:color w:val="000000"/>
          <w:sz w:val="24"/>
          <w:szCs w:val="24"/>
          <w:bdr w:val="none" w:sz="0" w:space="0" w:color="auto" w:frame="1"/>
        </w:rPr>
        <w:t xml:space="preserve"> (2017) suggests that having friends on the job provides for a more positive attitude within individuals and is more beneficial than not.  The benefits of working with friends include networking in a way that one can ask for assistance without feeling threatened, which positively impacts the employee's work satisfaction and motivation (</w:t>
      </w:r>
      <w:proofErr w:type="spellStart"/>
      <w:r w:rsidRPr="001C6DE0">
        <w:rPr>
          <w:rFonts w:ascii="Times New Roman" w:eastAsia="Times New Roman" w:hAnsi="Times New Roman" w:cs="Times New Roman"/>
          <w:color w:val="000000"/>
          <w:sz w:val="24"/>
          <w:szCs w:val="24"/>
          <w:bdr w:val="none" w:sz="0" w:space="0" w:color="auto" w:frame="1"/>
        </w:rPr>
        <w:t>Burkus</w:t>
      </w:r>
      <w:proofErr w:type="spellEnd"/>
      <w:r w:rsidRPr="001C6DE0">
        <w:rPr>
          <w:rFonts w:ascii="Times New Roman" w:eastAsia="Times New Roman" w:hAnsi="Times New Roman" w:cs="Times New Roman"/>
          <w:color w:val="000000"/>
          <w:sz w:val="24"/>
          <w:szCs w:val="24"/>
          <w:bdr w:val="none" w:sz="0" w:space="0" w:color="auto" w:frame="1"/>
        </w:rPr>
        <w:t>, 2017). </w:t>
      </w:r>
    </w:p>
    <w:p w14:paraId="14852776" w14:textId="77777777" w:rsidR="001C6DE0" w:rsidRPr="001C6DE0" w:rsidRDefault="001C6DE0" w:rsidP="001C6DE0">
      <w:pPr>
        <w:spacing w:after="0" w:line="440" w:lineRule="atLeast"/>
        <w:ind w:firstLine="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 xml:space="preserve">Other personality traits also appear to have a relationship with job satisfaction.  For example, characteristics such as achievement motivation, extraversion, neuroticism, autonomy, and skill variety have direct and additive links with work contentment (Van den Berg &amp; </w:t>
      </w:r>
      <w:proofErr w:type="spellStart"/>
      <w:r w:rsidRPr="001C6DE0">
        <w:rPr>
          <w:rFonts w:ascii="Times New Roman" w:eastAsia="Times New Roman" w:hAnsi="Times New Roman" w:cs="Times New Roman"/>
          <w:color w:val="000000"/>
          <w:sz w:val="24"/>
          <w:szCs w:val="24"/>
          <w:bdr w:val="none" w:sz="0" w:space="0" w:color="auto" w:frame="1"/>
        </w:rPr>
        <w:t>Feij</w:t>
      </w:r>
      <w:proofErr w:type="spellEnd"/>
      <w:r w:rsidRPr="001C6DE0">
        <w:rPr>
          <w:rFonts w:ascii="Times New Roman" w:eastAsia="Times New Roman" w:hAnsi="Times New Roman" w:cs="Times New Roman"/>
          <w:color w:val="000000"/>
          <w:sz w:val="24"/>
          <w:szCs w:val="24"/>
          <w:bdr w:val="none" w:sz="0" w:space="0" w:color="auto" w:frame="1"/>
        </w:rPr>
        <w:t xml:space="preserve">, 2003).  Equally important, positive attitudes and negative attitudes within an individual are related to that person's work fulfillment (Connolly &amp; </w:t>
      </w:r>
      <w:proofErr w:type="spellStart"/>
      <w:r w:rsidRPr="001C6DE0">
        <w:rPr>
          <w:rFonts w:ascii="Times New Roman" w:eastAsia="Times New Roman" w:hAnsi="Times New Roman" w:cs="Times New Roman"/>
          <w:color w:val="000000"/>
          <w:sz w:val="24"/>
          <w:szCs w:val="24"/>
          <w:bdr w:val="none" w:sz="0" w:space="0" w:color="auto" w:frame="1"/>
        </w:rPr>
        <w:t>Viswesvaran</w:t>
      </w:r>
      <w:proofErr w:type="spellEnd"/>
      <w:r w:rsidRPr="001C6DE0">
        <w:rPr>
          <w:rFonts w:ascii="Times New Roman" w:eastAsia="Times New Roman" w:hAnsi="Times New Roman" w:cs="Times New Roman"/>
          <w:color w:val="000000"/>
          <w:sz w:val="24"/>
          <w:szCs w:val="24"/>
          <w:bdr w:val="none" w:sz="0" w:space="0" w:color="auto" w:frame="1"/>
        </w:rPr>
        <w:t>, 2000).  Furthermore, research by Bond and Donaldson-</w:t>
      </w:r>
      <w:proofErr w:type="spellStart"/>
      <w:r w:rsidRPr="001C6DE0">
        <w:rPr>
          <w:rFonts w:ascii="Times New Roman" w:eastAsia="Times New Roman" w:hAnsi="Times New Roman" w:cs="Times New Roman"/>
          <w:color w:val="000000"/>
          <w:sz w:val="24"/>
          <w:szCs w:val="24"/>
          <w:bdr w:val="none" w:sz="0" w:space="0" w:color="auto" w:frame="1"/>
        </w:rPr>
        <w:t>Feilder</w:t>
      </w:r>
      <w:proofErr w:type="spellEnd"/>
      <w:r w:rsidRPr="001C6DE0">
        <w:rPr>
          <w:rFonts w:ascii="Times New Roman" w:eastAsia="Times New Roman" w:hAnsi="Times New Roman" w:cs="Times New Roman"/>
          <w:color w:val="000000"/>
          <w:sz w:val="24"/>
          <w:szCs w:val="24"/>
          <w:bdr w:val="none" w:sz="0" w:space="0" w:color="auto" w:frame="1"/>
        </w:rPr>
        <w:t xml:space="preserve"> (2004) hypothesizes that there is a relationship between the individual characteristics of Emotional Intelligence (EI) and psychological acceptance concerning general mental health, physical well-being, and job satisfaction.  However, the outcomes of the research by Bond and Donaldson-</w:t>
      </w:r>
      <w:proofErr w:type="spellStart"/>
      <w:r w:rsidRPr="001C6DE0">
        <w:rPr>
          <w:rFonts w:ascii="Times New Roman" w:eastAsia="Times New Roman" w:hAnsi="Times New Roman" w:cs="Times New Roman"/>
          <w:color w:val="000000"/>
          <w:sz w:val="24"/>
          <w:szCs w:val="24"/>
          <w:bdr w:val="none" w:sz="0" w:space="0" w:color="auto" w:frame="1"/>
        </w:rPr>
        <w:t>Feilder</w:t>
      </w:r>
      <w:proofErr w:type="spellEnd"/>
      <w:r w:rsidRPr="001C6DE0">
        <w:rPr>
          <w:rFonts w:ascii="Times New Roman" w:eastAsia="Times New Roman" w:hAnsi="Times New Roman" w:cs="Times New Roman"/>
          <w:color w:val="000000"/>
          <w:sz w:val="24"/>
          <w:szCs w:val="24"/>
          <w:bdr w:val="none" w:sz="0" w:space="0" w:color="auto" w:frame="1"/>
        </w:rPr>
        <w:t xml:space="preserve"> (2004) suggests that while there appears to be a relationship between psychological acceptance and mental health, and physical well being, there does not appear to be a relationship between EI and general mental health, physical well-being, and job satisfaction.  Lastly, there does seem to be a relationship between job control and job satisfaction (Bond &amp; Donaldson-</w:t>
      </w:r>
      <w:proofErr w:type="spellStart"/>
      <w:r w:rsidRPr="001C6DE0">
        <w:rPr>
          <w:rFonts w:ascii="Times New Roman" w:eastAsia="Times New Roman" w:hAnsi="Times New Roman" w:cs="Times New Roman"/>
          <w:color w:val="000000"/>
          <w:sz w:val="24"/>
          <w:szCs w:val="24"/>
          <w:bdr w:val="none" w:sz="0" w:space="0" w:color="auto" w:frame="1"/>
        </w:rPr>
        <w:t>Feilder</w:t>
      </w:r>
      <w:proofErr w:type="spellEnd"/>
      <w:r w:rsidRPr="001C6DE0">
        <w:rPr>
          <w:rFonts w:ascii="Times New Roman" w:eastAsia="Times New Roman" w:hAnsi="Times New Roman" w:cs="Times New Roman"/>
          <w:color w:val="000000"/>
          <w:sz w:val="24"/>
          <w:szCs w:val="24"/>
          <w:bdr w:val="none" w:sz="0" w:space="0" w:color="auto" w:frame="1"/>
        </w:rPr>
        <w:t>, 2004).</w:t>
      </w:r>
    </w:p>
    <w:p w14:paraId="534798BB" w14:textId="77777777" w:rsidR="001C6DE0" w:rsidRPr="001C6DE0" w:rsidRDefault="001C6DE0" w:rsidP="001C6DE0">
      <w:pPr>
        <w:spacing w:after="0" w:line="440" w:lineRule="atLeast"/>
        <w:ind w:firstLine="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 xml:space="preserve">Equally important, Shepard (1971) presents research related to Carey’s (1967) analysis of the Hawthorne studies, specifically as it relates to the monetary values for individuals within the study.  Carey’s (1967) review of the Hawthorne studies is critical of this research.  In particular, Carey (1967) suggests that monetary value, held necessary by many individuals, is a missing key </w:t>
      </w:r>
      <w:r w:rsidRPr="001C6DE0">
        <w:rPr>
          <w:rFonts w:ascii="Times New Roman" w:eastAsia="Times New Roman" w:hAnsi="Times New Roman" w:cs="Times New Roman"/>
          <w:color w:val="000000"/>
          <w:sz w:val="24"/>
          <w:szCs w:val="24"/>
          <w:bdr w:val="none" w:sz="0" w:space="0" w:color="auto" w:frame="1"/>
        </w:rPr>
        <w:lastRenderedPageBreak/>
        <w:t>finding within the Hawthorne Studies.  Furthermore, Carey (1967) indicates that the value of money to many individuals does influence their work satisfaction and motivation. </w:t>
      </w:r>
    </w:p>
    <w:p w14:paraId="7CBB26FB" w14:textId="77777777" w:rsidR="001C6DE0" w:rsidRPr="001C6DE0" w:rsidRDefault="001C6DE0" w:rsidP="001C6DE0">
      <w:pPr>
        <w:spacing w:after="0" w:line="440" w:lineRule="atLeast"/>
        <w:ind w:firstLine="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Additionally, Davis (1968) posits that the management utilization of one of four models of organizational behavior also directly impacts the motivation of employees.  These four models of organizational behavior are autocratic, custodial, supportive, and collegial.  The basis of the autocratic model is power, the custodial model focuses on economic resources, while the supportive model concentrates on support and leadership, and the collegial model places its focus on mutual collaboration (Davis, 1968).  These four organizational models appear to link closely to Maslow’s (1954) hierarchy of needs.  For example, the collegial model requires less direction and collaboration within the team and compares to Maslow’s (1954) self-actualization or the realization of one's talents and skills.  In determining the organizational model for any business, it is essential to determine the values of the individuals working within that business.  This choice of organizational model is even more critical with the growth and development of global companies.  Organizations must learn to appreciate the diverse values and attitudes of their worldwide employees in order to develop more productive workers and exceptional results for the shareholders (Atta-</w:t>
      </w:r>
      <w:proofErr w:type="spellStart"/>
      <w:r w:rsidRPr="001C6DE0">
        <w:rPr>
          <w:rFonts w:ascii="Times New Roman" w:eastAsia="Times New Roman" w:hAnsi="Times New Roman" w:cs="Times New Roman"/>
          <w:color w:val="000000"/>
          <w:sz w:val="24"/>
          <w:szCs w:val="24"/>
          <w:bdr w:val="none" w:sz="0" w:space="0" w:color="auto" w:frame="1"/>
        </w:rPr>
        <w:t>Panin</w:t>
      </w:r>
      <w:proofErr w:type="spellEnd"/>
      <w:r w:rsidRPr="001C6DE0">
        <w:rPr>
          <w:rFonts w:ascii="Times New Roman" w:eastAsia="Times New Roman" w:hAnsi="Times New Roman" w:cs="Times New Roman"/>
          <w:color w:val="000000"/>
          <w:sz w:val="24"/>
          <w:szCs w:val="24"/>
          <w:bdr w:val="none" w:sz="0" w:space="0" w:color="auto" w:frame="1"/>
        </w:rPr>
        <w:t>, 2015). </w:t>
      </w:r>
    </w:p>
    <w:p w14:paraId="32D35E59" w14:textId="77777777" w:rsidR="001C6DE0" w:rsidRPr="001C6DE0" w:rsidRDefault="001C6DE0" w:rsidP="001C6DE0">
      <w:pPr>
        <w:spacing w:after="0" w:line="440" w:lineRule="atLeast"/>
        <w:ind w:firstLine="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Furthermore, the organizational model of behavior may relate directly to the employee’s level of motivation.  Indeed, Atta-</w:t>
      </w:r>
      <w:proofErr w:type="spellStart"/>
      <w:r w:rsidRPr="001C6DE0">
        <w:rPr>
          <w:rFonts w:ascii="Times New Roman" w:eastAsia="Times New Roman" w:hAnsi="Times New Roman" w:cs="Times New Roman"/>
          <w:color w:val="000000"/>
          <w:sz w:val="24"/>
          <w:szCs w:val="24"/>
          <w:bdr w:val="none" w:sz="0" w:space="0" w:color="auto" w:frame="1"/>
        </w:rPr>
        <w:t>Panin</w:t>
      </w:r>
      <w:proofErr w:type="spellEnd"/>
      <w:r w:rsidRPr="001C6DE0">
        <w:rPr>
          <w:rFonts w:ascii="Times New Roman" w:eastAsia="Times New Roman" w:hAnsi="Times New Roman" w:cs="Times New Roman"/>
          <w:color w:val="000000"/>
          <w:sz w:val="24"/>
          <w:szCs w:val="24"/>
          <w:bdr w:val="none" w:sz="0" w:space="0" w:color="auto" w:frame="1"/>
        </w:rPr>
        <w:t xml:space="preserve"> (2015) posits that there are four motivational factors within different cultures: needed income, secure income, contact with people, and feelings of accomplishment.  Similarly, McClelland’s (2019) </w:t>
      </w:r>
      <w:r w:rsidRPr="001C6DE0">
        <w:rPr>
          <w:rFonts w:ascii="Times New Roman" w:eastAsia="Times New Roman" w:hAnsi="Times New Roman" w:cs="Times New Roman"/>
          <w:i/>
          <w:iCs/>
          <w:color w:val="000000"/>
          <w:sz w:val="24"/>
          <w:szCs w:val="24"/>
          <w:bdr w:val="none" w:sz="0" w:space="0" w:color="auto" w:frame="1"/>
        </w:rPr>
        <w:t>three needs theory</w:t>
      </w:r>
      <w:r w:rsidRPr="001C6DE0">
        <w:rPr>
          <w:rFonts w:ascii="Times New Roman" w:eastAsia="Times New Roman" w:hAnsi="Times New Roman" w:cs="Times New Roman"/>
          <w:color w:val="000000"/>
          <w:sz w:val="24"/>
          <w:szCs w:val="24"/>
          <w:bdr w:val="none" w:sz="0" w:space="0" w:color="auto" w:frame="1"/>
        </w:rPr>
        <w:t> suggest the motivational factors of achievement, affiliation, and power are critical as it relates to the motivation within a global society.  Therefore, to motivate employees within an organization, the values within each culture must also be understood (Hofstede, 1991).  It is culturally significant for a leader to understand what motivates a person in order to get the highest level of productivity from that individual and, in turn, the most significant benefits for the organization.</w:t>
      </w:r>
    </w:p>
    <w:p w14:paraId="71D75D36" w14:textId="77777777" w:rsidR="001C6DE0" w:rsidRPr="001C6DE0" w:rsidRDefault="001C6DE0" w:rsidP="001C6DE0">
      <w:pPr>
        <w:spacing w:after="0" w:line="440" w:lineRule="atLeast"/>
        <w:ind w:left="720" w:hanging="720"/>
        <w:jc w:val="center"/>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References</w:t>
      </w:r>
    </w:p>
    <w:p w14:paraId="6E1FDB7F"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Atta-</w:t>
      </w:r>
      <w:proofErr w:type="spellStart"/>
      <w:r w:rsidRPr="001C6DE0">
        <w:rPr>
          <w:rFonts w:ascii="Times New Roman" w:eastAsia="Times New Roman" w:hAnsi="Times New Roman" w:cs="Times New Roman"/>
          <w:color w:val="000000"/>
          <w:sz w:val="24"/>
          <w:szCs w:val="24"/>
          <w:bdr w:val="none" w:sz="0" w:space="0" w:color="auto" w:frame="1"/>
        </w:rPr>
        <w:t>Panin</w:t>
      </w:r>
      <w:proofErr w:type="spellEnd"/>
      <w:r w:rsidRPr="001C6DE0">
        <w:rPr>
          <w:rFonts w:ascii="Times New Roman" w:eastAsia="Times New Roman" w:hAnsi="Times New Roman" w:cs="Times New Roman"/>
          <w:color w:val="000000"/>
          <w:sz w:val="24"/>
          <w:szCs w:val="24"/>
          <w:bdr w:val="none" w:sz="0" w:space="0" w:color="auto" w:frame="1"/>
        </w:rPr>
        <w:t xml:space="preserve">, J. (2015). </w:t>
      </w:r>
      <w:proofErr w:type="spellStart"/>
      <w:r w:rsidRPr="001C6DE0">
        <w:rPr>
          <w:rFonts w:ascii="Times New Roman" w:eastAsia="Times New Roman" w:hAnsi="Times New Roman" w:cs="Times New Roman"/>
          <w:color w:val="000000"/>
          <w:sz w:val="24"/>
          <w:szCs w:val="24"/>
          <w:bdr w:val="none" w:sz="0" w:space="0" w:color="auto" w:frame="1"/>
        </w:rPr>
        <w:t>Organisational</w:t>
      </w:r>
      <w:proofErr w:type="spellEnd"/>
      <w:r w:rsidRPr="001C6DE0">
        <w:rPr>
          <w:rFonts w:ascii="Times New Roman" w:eastAsia="Times New Roman" w:hAnsi="Times New Roman" w:cs="Times New Roman"/>
          <w:color w:val="000000"/>
          <w:sz w:val="24"/>
          <w:szCs w:val="24"/>
          <w:bdr w:val="none" w:sz="0" w:space="0" w:color="auto" w:frame="1"/>
        </w:rPr>
        <w:t xml:space="preserve"> </w:t>
      </w:r>
      <w:proofErr w:type="spellStart"/>
      <w:r w:rsidRPr="001C6DE0">
        <w:rPr>
          <w:rFonts w:ascii="Times New Roman" w:eastAsia="Times New Roman" w:hAnsi="Times New Roman" w:cs="Times New Roman"/>
          <w:color w:val="000000"/>
          <w:sz w:val="24"/>
          <w:szCs w:val="24"/>
          <w:bdr w:val="none" w:sz="0" w:space="0" w:color="auto" w:frame="1"/>
        </w:rPr>
        <w:t>behaviour</w:t>
      </w:r>
      <w:proofErr w:type="spellEnd"/>
      <w:r w:rsidRPr="001C6DE0">
        <w:rPr>
          <w:rFonts w:ascii="Times New Roman" w:eastAsia="Times New Roman" w:hAnsi="Times New Roman" w:cs="Times New Roman"/>
          <w:color w:val="000000"/>
          <w:sz w:val="24"/>
          <w:szCs w:val="24"/>
          <w:bdr w:val="none" w:sz="0" w:space="0" w:color="auto" w:frame="1"/>
        </w:rPr>
        <w:t xml:space="preserve">: values, attitudes, and job satisfaction in a global </w:t>
      </w:r>
      <w:proofErr w:type="gramStart"/>
      <w:r w:rsidRPr="001C6DE0">
        <w:rPr>
          <w:rFonts w:ascii="Times New Roman" w:eastAsia="Times New Roman" w:hAnsi="Times New Roman" w:cs="Times New Roman"/>
          <w:color w:val="000000"/>
          <w:sz w:val="24"/>
          <w:szCs w:val="24"/>
          <w:bdr w:val="none" w:sz="0" w:space="0" w:color="auto" w:frame="1"/>
        </w:rPr>
        <w:t>market place</w:t>
      </w:r>
      <w:proofErr w:type="gramEnd"/>
      <w:r w:rsidRPr="001C6DE0">
        <w:rPr>
          <w:rFonts w:ascii="Times New Roman" w:eastAsia="Times New Roman" w:hAnsi="Times New Roman" w:cs="Times New Roman"/>
          <w:color w:val="000000"/>
          <w:sz w:val="24"/>
          <w:szCs w:val="24"/>
          <w:bdr w:val="none" w:sz="0" w:space="0" w:color="auto" w:frame="1"/>
        </w:rPr>
        <w:t>. </w:t>
      </w:r>
      <w:r w:rsidRPr="001C6DE0">
        <w:rPr>
          <w:rFonts w:ascii="Times New Roman" w:eastAsia="Times New Roman" w:hAnsi="Times New Roman" w:cs="Times New Roman"/>
          <w:i/>
          <w:iCs/>
          <w:color w:val="000000"/>
          <w:sz w:val="24"/>
          <w:szCs w:val="24"/>
          <w:bdr w:val="none" w:sz="0" w:space="0" w:color="auto" w:frame="1"/>
        </w:rPr>
        <w:t>Danish Journal of Psychology Sciences 7</w:t>
      </w:r>
      <w:r w:rsidRPr="001C6DE0">
        <w:rPr>
          <w:rFonts w:ascii="Times New Roman" w:eastAsia="Times New Roman" w:hAnsi="Times New Roman" w:cs="Times New Roman"/>
          <w:color w:val="000000"/>
          <w:sz w:val="24"/>
          <w:szCs w:val="24"/>
          <w:bdr w:val="none" w:sz="0" w:space="0" w:color="auto" w:frame="1"/>
        </w:rPr>
        <w:t>, 45-50</w:t>
      </w:r>
    </w:p>
    <w:p w14:paraId="57349324"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Bond, F. W., &amp; Donaldson-</w:t>
      </w:r>
      <w:proofErr w:type="spellStart"/>
      <w:r w:rsidRPr="001C6DE0">
        <w:rPr>
          <w:rFonts w:ascii="Times New Roman" w:eastAsia="Times New Roman" w:hAnsi="Times New Roman" w:cs="Times New Roman"/>
          <w:color w:val="000000"/>
          <w:sz w:val="24"/>
          <w:szCs w:val="24"/>
          <w:bdr w:val="none" w:sz="0" w:space="0" w:color="auto" w:frame="1"/>
        </w:rPr>
        <w:t>Feilder</w:t>
      </w:r>
      <w:proofErr w:type="spellEnd"/>
      <w:r w:rsidRPr="001C6DE0">
        <w:rPr>
          <w:rFonts w:ascii="Times New Roman" w:eastAsia="Times New Roman" w:hAnsi="Times New Roman" w:cs="Times New Roman"/>
          <w:color w:val="000000"/>
          <w:sz w:val="24"/>
          <w:szCs w:val="24"/>
          <w:bdr w:val="none" w:sz="0" w:space="0" w:color="auto" w:frame="1"/>
        </w:rPr>
        <w:t>, E. J. (2004). The relative importance of psychological acceptance and emotional intelligence to workplace well-being. </w:t>
      </w:r>
      <w:r w:rsidRPr="001C6DE0">
        <w:rPr>
          <w:rFonts w:ascii="Times New Roman" w:eastAsia="Times New Roman" w:hAnsi="Times New Roman" w:cs="Times New Roman"/>
          <w:i/>
          <w:iCs/>
          <w:color w:val="000000"/>
          <w:sz w:val="24"/>
          <w:szCs w:val="24"/>
          <w:bdr w:val="none" w:sz="0" w:space="0" w:color="auto" w:frame="1"/>
        </w:rPr>
        <w:t>British Journal of Guidance &amp; Counselling, 32</w:t>
      </w:r>
      <w:r w:rsidRPr="001C6DE0">
        <w:rPr>
          <w:rFonts w:ascii="Times New Roman" w:eastAsia="Times New Roman" w:hAnsi="Times New Roman" w:cs="Times New Roman"/>
          <w:color w:val="000000"/>
          <w:sz w:val="24"/>
          <w:szCs w:val="24"/>
          <w:bdr w:val="none" w:sz="0" w:space="0" w:color="auto" w:frame="1"/>
        </w:rPr>
        <w:t>(2), 187–203. </w:t>
      </w:r>
      <w:hyperlink r:id="rId4" w:history="1">
        <w:r w:rsidRPr="001C6DE0">
          <w:rPr>
            <w:rFonts w:ascii="Times New Roman" w:eastAsia="Times New Roman" w:hAnsi="Times New Roman" w:cs="Times New Roman"/>
            <w:color w:val="000000"/>
            <w:sz w:val="24"/>
            <w:szCs w:val="24"/>
            <w:u w:val="single"/>
            <w:bdr w:val="none" w:sz="0" w:space="0" w:color="auto" w:frame="1"/>
          </w:rPr>
          <w:t>https://doi-org.saintleo.idm.oclc.org/10.1080/08069880410001692210</w:t>
        </w:r>
      </w:hyperlink>
    </w:p>
    <w:p w14:paraId="16FDBD99" w14:textId="77777777" w:rsidR="001C6DE0" w:rsidRPr="001C6DE0" w:rsidRDefault="001C6DE0" w:rsidP="001C6DE0">
      <w:pPr>
        <w:spacing w:after="0" w:line="440" w:lineRule="atLeast"/>
        <w:ind w:left="720" w:hanging="720"/>
        <w:rPr>
          <w:rFonts w:ascii="Calibri" w:eastAsia="Times New Roman" w:hAnsi="Calibri" w:cs="Calibri"/>
        </w:rPr>
      </w:pPr>
      <w:proofErr w:type="spellStart"/>
      <w:r w:rsidRPr="001C6DE0">
        <w:rPr>
          <w:rFonts w:ascii="Times New Roman" w:eastAsia="Times New Roman" w:hAnsi="Times New Roman" w:cs="Times New Roman"/>
          <w:color w:val="000000"/>
          <w:sz w:val="24"/>
          <w:szCs w:val="24"/>
          <w:bdr w:val="none" w:sz="0" w:space="0" w:color="auto" w:frame="1"/>
        </w:rPr>
        <w:t>Burkus</w:t>
      </w:r>
      <w:proofErr w:type="spellEnd"/>
      <w:r w:rsidRPr="001C6DE0">
        <w:rPr>
          <w:rFonts w:ascii="Times New Roman" w:eastAsia="Times New Roman" w:hAnsi="Times New Roman" w:cs="Times New Roman"/>
          <w:color w:val="000000"/>
          <w:sz w:val="24"/>
          <w:szCs w:val="24"/>
          <w:bdr w:val="none" w:sz="0" w:space="0" w:color="auto" w:frame="1"/>
        </w:rPr>
        <w:t>, D. (2017). Work friends make us more productive (except when they stress us out). Retrieved from </w:t>
      </w:r>
      <w:hyperlink r:id="rId5" w:history="1">
        <w:r w:rsidRPr="001C6DE0">
          <w:rPr>
            <w:rFonts w:ascii="Times New Roman" w:eastAsia="Times New Roman" w:hAnsi="Times New Roman" w:cs="Times New Roman"/>
            <w:color w:val="000000"/>
            <w:sz w:val="24"/>
            <w:szCs w:val="24"/>
            <w:u w:val="single"/>
            <w:bdr w:val="none" w:sz="0" w:space="0" w:color="auto" w:frame="1"/>
          </w:rPr>
          <w:t>https://hbr.org/2017/05/work-friends-make-us-more-productive-except-when-they-stress-us-out</w:t>
        </w:r>
      </w:hyperlink>
    </w:p>
    <w:p w14:paraId="1F5F512E"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u w:val="single"/>
          <w:bdr w:val="none" w:sz="0" w:space="0" w:color="auto" w:frame="1"/>
        </w:rPr>
        <w:t>Carey, A. (1967). The Hawthorne studies: A radical criticism. </w:t>
      </w:r>
      <w:r w:rsidRPr="001C6DE0">
        <w:rPr>
          <w:rFonts w:ascii="Times New Roman" w:eastAsia="Times New Roman" w:hAnsi="Times New Roman" w:cs="Times New Roman"/>
          <w:i/>
          <w:iCs/>
          <w:color w:val="000000"/>
          <w:sz w:val="24"/>
          <w:szCs w:val="24"/>
          <w:u w:val="single"/>
          <w:bdr w:val="none" w:sz="0" w:space="0" w:color="auto" w:frame="1"/>
        </w:rPr>
        <w:t>American Sociological Review</w:t>
      </w:r>
      <w:r w:rsidRPr="001C6DE0">
        <w:rPr>
          <w:rFonts w:ascii="Times New Roman" w:eastAsia="Times New Roman" w:hAnsi="Times New Roman" w:cs="Times New Roman"/>
          <w:color w:val="000000"/>
          <w:sz w:val="24"/>
          <w:szCs w:val="24"/>
          <w:u w:val="single"/>
          <w:bdr w:val="none" w:sz="0" w:space="0" w:color="auto" w:frame="1"/>
        </w:rPr>
        <w:t>, </w:t>
      </w:r>
      <w:r w:rsidRPr="001C6DE0">
        <w:rPr>
          <w:rFonts w:ascii="Times New Roman" w:eastAsia="Times New Roman" w:hAnsi="Times New Roman" w:cs="Times New Roman"/>
          <w:i/>
          <w:iCs/>
          <w:color w:val="000000"/>
          <w:sz w:val="24"/>
          <w:szCs w:val="24"/>
          <w:u w:val="single"/>
          <w:bdr w:val="none" w:sz="0" w:space="0" w:color="auto" w:frame="1"/>
        </w:rPr>
        <w:t>32</w:t>
      </w:r>
      <w:r w:rsidRPr="001C6DE0">
        <w:rPr>
          <w:rFonts w:ascii="Times New Roman" w:eastAsia="Times New Roman" w:hAnsi="Times New Roman" w:cs="Times New Roman"/>
          <w:color w:val="000000"/>
          <w:sz w:val="24"/>
          <w:szCs w:val="24"/>
          <w:u w:val="single"/>
          <w:bdr w:val="none" w:sz="0" w:space="0" w:color="auto" w:frame="1"/>
        </w:rPr>
        <w:t>(3), 403-416.</w:t>
      </w:r>
    </w:p>
    <w:p w14:paraId="26BA06D6"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u w:val="single"/>
          <w:bdr w:val="none" w:sz="0" w:space="0" w:color="auto" w:frame="1"/>
        </w:rPr>
        <w:t xml:space="preserve">Connolly, J. J., &amp; </w:t>
      </w:r>
      <w:proofErr w:type="spellStart"/>
      <w:r w:rsidRPr="001C6DE0">
        <w:rPr>
          <w:rFonts w:ascii="Times New Roman" w:eastAsia="Times New Roman" w:hAnsi="Times New Roman" w:cs="Times New Roman"/>
          <w:color w:val="000000"/>
          <w:sz w:val="24"/>
          <w:szCs w:val="24"/>
          <w:u w:val="single"/>
          <w:bdr w:val="none" w:sz="0" w:space="0" w:color="auto" w:frame="1"/>
        </w:rPr>
        <w:t>Viswesvaran</w:t>
      </w:r>
      <w:proofErr w:type="spellEnd"/>
      <w:r w:rsidRPr="001C6DE0">
        <w:rPr>
          <w:rFonts w:ascii="Times New Roman" w:eastAsia="Times New Roman" w:hAnsi="Times New Roman" w:cs="Times New Roman"/>
          <w:color w:val="000000"/>
          <w:sz w:val="24"/>
          <w:szCs w:val="24"/>
          <w:u w:val="single"/>
          <w:bdr w:val="none" w:sz="0" w:space="0" w:color="auto" w:frame="1"/>
        </w:rPr>
        <w:t>, C. (2000). The role of affectivity in job satisfaction: A meta-analysis. </w:t>
      </w:r>
      <w:r w:rsidRPr="001C6DE0">
        <w:rPr>
          <w:rFonts w:ascii="Times New Roman" w:eastAsia="Times New Roman" w:hAnsi="Times New Roman" w:cs="Times New Roman"/>
          <w:i/>
          <w:iCs/>
          <w:color w:val="000000"/>
          <w:sz w:val="24"/>
          <w:szCs w:val="24"/>
          <w:u w:val="single"/>
          <w:bdr w:val="none" w:sz="0" w:space="0" w:color="auto" w:frame="1"/>
        </w:rPr>
        <w:t>Personality and Individual differences,</w:t>
      </w:r>
      <w:r w:rsidRPr="001C6DE0">
        <w:rPr>
          <w:rFonts w:ascii="Times New Roman" w:eastAsia="Times New Roman" w:hAnsi="Times New Roman" w:cs="Times New Roman"/>
          <w:color w:val="000000"/>
          <w:sz w:val="24"/>
          <w:szCs w:val="24"/>
          <w:u w:val="single"/>
          <w:bdr w:val="none" w:sz="0" w:space="0" w:color="auto" w:frame="1"/>
        </w:rPr>
        <w:t> 29, 265-281.</w:t>
      </w:r>
    </w:p>
    <w:p w14:paraId="49A51144"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Davis, K. (1968). Evolving Models of Organizational Behavior. </w:t>
      </w:r>
      <w:r w:rsidRPr="001C6DE0">
        <w:rPr>
          <w:rFonts w:ascii="Times New Roman" w:eastAsia="Times New Roman" w:hAnsi="Times New Roman" w:cs="Times New Roman"/>
          <w:i/>
          <w:iCs/>
          <w:color w:val="000000"/>
          <w:sz w:val="24"/>
          <w:szCs w:val="24"/>
          <w:bdr w:val="none" w:sz="0" w:space="0" w:color="auto" w:frame="1"/>
        </w:rPr>
        <w:t>Academy of Management Journal, 11</w:t>
      </w:r>
      <w:r w:rsidRPr="001C6DE0">
        <w:rPr>
          <w:rFonts w:ascii="Times New Roman" w:eastAsia="Times New Roman" w:hAnsi="Times New Roman" w:cs="Times New Roman"/>
          <w:color w:val="000000"/>
          <w:sz w:val="24"/>
          <w:szCs w:val="24"/>
          <w:bdr w:val="none" w:sz="0" w:space="0" w:color="auto" w:frame="1"/>
        </w:rPr>
        <w:t>(1), 27–38. </w:t>
      </w:r>
      <w:hyperlink r:id="rId6" w:history="1">
        <w:r w:rsidRPr="001C6DE0">
          <w:rPr>
            <w:rFonts w:ascii="Times New Roman" w:eastAsia="Times New Roman" w:hAnsi="Times New Roman" w:cs="Times New Roman"/>
            <w:color w:val="000000"/>
            <w:sz w:val="24"/>
            <w:szCs w:val="24"/>
            <w:u w:val="single"/>
            <w:bdr w:val="none" w:sz="0" w:space="0" w:color="auto" w:frame="1"/>
          </w:rPr>
          <w:t>https://doi-org.saintleo.idm.oclc.org/10.2307/255194</w:t>
        </w:r>
      </w:hyperlink>
    </w:p>
    <w:p w14:paraId="5C942928"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Hofstede, G. (1991). </w:t>
      </w:r>
      <w:r w:rsidRPr="001C6DE0">
        <w:rPr>
          <w:rFonts w:ascii="Times New Roman" w:eastAsia="Times New Roman" w:hAnsi="Times New Roman" w:cs="Times New Roman"/>
          <w:i/>
          <w:iCs/>
          <w:color w:val="000000"/>
          <w:sz w:val="24"/>
          <w:szCs w:val="24"/>
          <w:bdr w:val="none" w:sz="0" w:space="0" w:color="auto" w:frame="1"/>
        </w:rPr>
        <w:t>Culture and Organizations: Software of the Mind</w:t>
      </w:r>
      <w:r w:rsidRPr="001C6DE0">
        <w:rPr>
          <w:rFonts w:ascii="Times New Roman" w:eastAsia="Times New Roman" w:hAnsi="Times New Roman" w:cs="Times New Roman"/>
          <w:color w:val="000000"/>
          <w:sz w:val="24"/>
          <w:szCs w:val="24"/>
          <w:bdr w:val="none" w:sz="0" w:space="0" w:color="auto" w:frame="1"/>
        </w:rPr>
        <w:t>. McGraw-Hill Companies, Inc. London</w:t>
      </w:r>
    </w:p>
    <w:p w14:paraId="3AFBBA00"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shd w:val="clear" w:color="auto" w:fill="FFFFFF"/>
        </w:rPr>
        <w:t>Maslow, A. H. (1954) </w:t>
      </w:r>
      <w:r w:rsidRPr="001C6DE0">
        <w:rPr>
          <w:rFonts w:ascii="Times New Roman" w:eastAsia="Times New Roman" w:hAnsi="Times New Roman" w:cs="Times New Roman"/>
          <w:i/>
          <w:iCs/>
          <w:color w:val="000000"/>
          <w:sz w:val="24"/>
          <w:szCs w:val="24"/>
          <w:bdr w:val="none" w:sz="0" w:space="0" w:color="auto" w:frame="1"/>
        </w:rPr>
        <w:t>Motivation and Personality.</w:t>
      </w:r>
      <w:r w:rsidRPr="001C6DE0">
        <w:rPr>
          <w:rFonts w:ascii="Times New Roman" w:eastAsia="Times New Roman" w:hAnsi="Times New Roman" w:cs="Times New Roman"/>
          <w:color w:val="000000"/>
          <w:sz w:val="24"/>
          <w:szCs w:val="24"/>
          <w:bdr w:val="none" w:sz="0" w:space="0" w:color="auto" w:frame="1"/>
          <w:shd w:val="clear" w:color="auto" w:fill="FFFFFF"/>
        </w:rPr>
        <w:t> New York, NY: Harper &amp; Brothers.</w:t>
      </w:r>
    </w:p>
    <w:p w14:paraId="661B5D00"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McClelland’s human motivation theory. (2019). Retrieved from </w:t>
      </w:r>
      <w:hyperlink r:id="rId7" w:history="1">
        <w:r w:rsidRPr="001C6DE0">
          <w:rPr>
            <w:rFonts w:ascii="Times New Roman" w:eastAsia="Times New Roman" w:hAnsi="Times New Roman" w:cs="Times New Roman"/>
            <w:color w:val="000000"/>
            <w:sz w:val="24"/>
            <w:szCs w:val="24"/>
            <w:u w:val="single"/>
            <w:bdr w:val="none" w:sz="0" w:space="0" w:color="auto" w:frame="1"/>
          </w:rPr>
          <w:t>https://www.mindtools.com/pages/article/human-motivation-theory.htm</w:t>
        </w:r>
      </w:hyperlink>
    </w:p>
    <w:p w14:paraId="42CBC262"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Shepard, J. M. (1971). On Alex Carey’s Radical Criticism of the Hawthorne Studies. </w:t>
      </w:r>
      <w:r w:rsidRPr="001C6DE0">
        <w:rPr>
          <w:rFonts w:ascii="Times New Roman" w:eastAsia="Times New Roman" w:hAnsi="Times New Roman" w:cs="Times New Roman"/>
          <w:i/>
          <w:iCs/>
          <w:color w:val="000000"/>
          <w:sz w:val="24"/>
          <w:szCs w:val="24"/>
          <w:bdr w:val="none" w:sz="0" w:space="0" w:color="auto" w:frame="1"/>
        </w:rPr>
        <w:t>Academy of Management Journal, 14</w:t>
      </w:r>
      <w:r w:rsidRPr="001C6DE0">
        <w:rPr>
          <w:rFonts w:ascii="Times New Roman" w:eastAsia="Times New Roman" w:hAnsi="Times New Roman" w:cs="Times New Roman"/>
          <w:color w:val="000000"/>
          <w:sz w:val="24"/>
          <w:szCs w:val="24"/>
          <w:bdr w:val="none" w:sz="0" w:space="0" w:color="auto" w:frame="1"/>
        </w:rPr>
        <w:t>(1), 23–32. </w:t>
      </w:r>
      <w:hyperlink r:id="rId8" w:history="1">
        <w:r w:rsidRPr="001C6DE0">
          <w:rPr>
            <w:rFonts w:ascii="Times New Roman" w:eastAsia="Times New Roman" w:hAnsi="Times New Roman" w:cs="Times New Roman"/>
            <w:color w:val="000000"/>
            <w:sz w:val="24"/>
            <w:szCs w:val="24"/>
            <w:u w:val="single"/>
            <w:bdr w:val="none" w:sz="0" w:space="0" w:color="auto" w:frame="1"/>
          </w:rPr>
          <w:t>https://doi-org.saintleo.idm.oclc.org/10.2307/25470</w:t>
        </w:r>
      </w:hyperlink>
    </w:p>
    <w:p w14:paraId="1DED0D55" w14:textId="77777777" w:rsidR="001C6DE0" w:rsidRPr="001C6DE0" w:rsidRDefault="001C6DE0" w:rsidP="001C6DE0">
      <w:pPr>
        <w:spacing w:after="0" w:line="440" w:lineRule="atLeast"/>
        <w:ind w:left="720" w:hanging="720"/>
        <w:rPr>
          <w:rFonts w:ascii="Calibri" w:eastAsia="Times New Roman" w:hAnsi="Calibri" w:cs="Calibri"/>
        </w:rPr>
      </w:pPr>
      <w:proofErr w:type="spellStart"/>
      <w:r w:rsidRPr="001C6DE0">
        <w:rPr>
          <w:rFonts w:ascii="Times New Roman" w:eastAsia="Times New Roman" w:hAnsi="Times New Roman" w:cs="Times New Roman"/>
          <w:color w:val="000000"/>
          <w:sz w:val="24"/>
          <w:szCs w:val="24"/>
          <w:u w:val="single"/>
          <w:bdr w:val="none" w:sz="0" w:space="0" w:color="auto" w:frame="1"/>
        </w:rPr>
        <w:t>Tett</w:t>
      </w:r>
      <w:proofErr w:type="spellEnd"/>
      <w:r w:rsidRPr="001C6DE0">
        <w:rPr>
          <w:rFonts w:ascii="Times New Roman" w:eastAsia="Times New Roman" w:hAnsi="Times New Roman" w:cs="Times New Roman"/>
          <w:color w:val="000000"/>
          <w:sz w:val="24"/>
          <w:szCs w:val="24"/>
          <w:u w:val="single"/>
          <w:bdr w:val="none" w:sz="0" w:space="0" w:color="auto" w:frame="1"/>
        </w:rPr>
        <w:t>, R. P., Jackson, D. N., and Rothstein, M. (1991). Personality measures as predictors of job performance: A meta-analytic review. </w:t>
      </w:r>
      <w:r w:rsidRPr="001C6DE0">
        <w:rPr>
          <w:rFonts w:ascii="Times New Roman" w:eastAsia="Times New Roman" w:hAnsi="Times New Roman" w:cs="Times New Roman"/>
          <w:i/>
          <w:iCs/>
          <w:color w:val="000000"/>
          <w:sz w:val="24"/>
          <w:szCs w:val="24"/>
          <w:u w:val="single"/>
          <w:bdr w:val="none" w:sz="0" w:space="0" w:color="auto" w:frame="1"/>
        </w:rPr>
        <w:t>Personnel Psychology</w:t>
      </w:r>
      <w:r w:rsidRPr="001C6DE0">
        <w:rPr>
          <w:rFonts w:ascii="Times New Roman" w:eastAsia="Times New Roman" w:hAnsi="Times New Roman" w:cs="Times New Roman"/>
          <w:color w:val="000000"/>
          <w:sz w:val="24"/>
          <w:szCs w:val="24"/>
          <w:u w:val="single"/>
          <w:bdr w:val="none" w:sz="0" w:space="0" w:color="auto" w:frame="1"/>
        </w:rPr>
        <w:t>, 44 703-742</w:t>
      </w:r>
    </w:p>
    <w:p w14:paraId="2A2546A7" w14:textId="77777777" w:rsidR="001C6DE0" w:rsidRPr="001C6DE0" w:rsidRDefault="001C6DE0" w:rsidP="001C6DE0">
      <w:pPr>
        <w:spacing w:after="0" w:line="440" w:lineRule="atLeast"/>
        <w:ind w:left="720" w:hanging="720"/>
        <w:rPr>
          <w:rFonts w:ascii="Calibri" w:eastAsia="Times New Roman" w:hAnsi="Calibri" w:cs="Calibri"/>
        </w:rPr>
      </w:pPr>
      <w:r w:rsidRPr="001C6DE0">
        <w:rPr>
          <w:rFonts w:ascii="Times New Roman" w:eastAsia="Times New Roman" w:hAnsi="Times New Roman" w:cs="Times New Roman"/>
          <w:color w:val="000000"/>
          <w:sz w:val="24"/>
          <w:szCs w:val="24"/>
          <w:bdr w:val="none" w:sz="0" w:space="0" w:color="auto" w:frame="1"/>
        </w:rPr>
        <w:t xml:space="preserve">Van den Berg, P. T., &amp; </w:t>
      </w:r>
      <w:proofErr w:type="spellStart"/>
      <w:r w:rsidRPr="001C6DE0">
        <w:rPr>
          <w:rFonts w:ascii="Times New Roman" w:eastAsia="Times New Roman" w:hAnsi="Times New Roman" w:cs="Times New Roman"/>
          <w:color w:val="000000"/>
          <w:sz w:val="24"/>
          <w:szCs w:val="24"/>
          <w:bdr w:val="none" w:sz="0" w:space="0" w:color="auto" w:frame="1"/>
        </w:rPr>
        <w:t>Feij</w:t>
      </w:r>
      <w:proofErr w:type="spellEnd"/>
      <w:r w:rsidRPr="001C6DE0">
        <w:rPr>
          <w:rFonts w:ascii="Times New Roman" w:eastAsia="Times New Roman" w:hAnsi="Times New Roman" w:cs="Times New Roman"/>
          <w:color w:val="000000"/>
          <w:sz w:val="24"/>
          <w:szCs w:val="24"/>
          <w:bdr w:val="none" w:sz="0" w:space="0" w:color="auto" w:frame="1"/>
        </w:rPr>
        <w:t>, J. A. (2003). Complex Relationships Among Personality Traits, Job Characteristics, and Work Behaviors. </w:t>
      </w:r>
      <w:r w:rsidRPr="001C6DE0">
        <w:rPr>
          <w:rFonts w:ascii="Times New Roman" w:eastAsia="Times New Roman" w:hAnsi="Times New Roman" w:cs="Times New Roman"/>
          <w:i/>
          <w:iCs/>
          <w:color w:val="000000"/>
          <w:sz w:val="24"/>
          <w:szCs w:val="24"/>
          <w:bdr w:val="none" w:sz="0" w:space="0" w:color="auto" w:frame="1"/>
        </w:rPr>
        <w:t>International Journal of Selection &amp; Assessment, 11</w:t>
      </w:r>
      <w:r w:rsidRPr="001C6DE0">
        <w:rPr>
          <w:rFonts w:ascii="Times New Roman" w:eastAsia="Times New Roman" w:hAnsi="Times New Roman" w:cs="Times New Roman"/>
          <w:color w:val="000000"/>
          <w:sz w:val="24"/>
          <w:szCs w:val="24"/>
          <w:bdr w:val="none" w:sz="0" w:space="0" w:color="auto" w:frame="1"/>
        </w:rPr>
        <w:t>(4), 326–339. </w:t>
      </w:r>
      <w:hyperlink r:id="rId9" w:history="1">
        <w:r w:rsidRPr="001C6DE0">
          <w:rPr>
            <w:rFonts w:ascii="Times New Roman" w:eastAsia="Times New Roman" w:hAnsi="Times New Roman" w:cs="Times New Roman"/>
            <w:color w:val="000000"/>
            <w:sz w:val="24"/>
            <w:szCs w:val="24"/>
            <w:u w:val="single"/>
            <w:bdr w:val="none" w:sz="0" w:space="0" w:color="auto" w:frame="1"/>
          </w:rPr>
          <w:t>https://doi-org.saintleo.idm.oclc.org/10.1111/j.0965-075X.2003.00255.x</w:t>
        </w:r>
      </w:hyperlink>
      <w:r w:rsidRPr="001C6DE0">
        <w:rPr>
          <w:rFonts w:ascii="Times New Roman" w:eastAsia="Times New Roman" w:hAnsi="Times New Roman" w:cs="Times New Roman"/>
          <w:color w:val="000000"/>
          <w:sz w:val="24"/>
          <w:szCs w:val="24"/>
          <w:bdr w:val="none" w:sz="0" w:space="0" w:color="auto" w:frame="1"/>
        </w:rPr>
        <w:t>i</w:t>
      </w:r>
    </w:p>
    <w:p w14:paraId="73144729" w14:textId="77777777" w:rsidR="001C6DE0" w:rsidRPr="001C6DE0" w:rsidRDefault="001C6DE0" w:rsidP="001C6DE0">
      <w:pPr>
        <w:spacing w:after="0" w:line="240" w:lineRule="auto"/>
        <w:rPr>
          <w:rFonts w:ascii="Times New Roman" w:eastAsia="Times New Roman" w:hAnsi="Times New Roman" w:cs="Times New Roman"/>
          <w:sz w:val="24"/>
          <w:szCs w:val="24"/>
        </w:rPr>
      </w:pPr>
      <w:r w:rsidRPr="001C6DE0">
        <w:rPr>
          <w:rFonts w:ascii="Times New Roman" w:eastAsia="Times New Roman" w:hAnsi="Times New Roman" w:cs="Times New Roman"/>
          <w:sz w:val="24"/>
          <w:szCs w:val="24"/>
        </w:rPr>
        <w:t>less</w:t>
      </w:r>
    </w:p>
    <w:p w14:paraId="06A4B480"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3NTUyMDEzsDQ0MTNV0lEKTi0uzszPAykwrAUAWIX9rywAAAA="/>
  </w:docVars>
  <w:rsids>
    <w:rsidRoot w:val="001C6DE0"/>
    <w:rsid w:val="001C6DE0"/>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D6E8"/>
  <w15:chartTrackingRefBased/>
  <w15:docId w15:val="{BD1C9269-64AA-4C5B-972F-B718A275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D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6DE0"/>
    <w:rPr>
      <w:color w:val="0000FF"/>
      <w:u w:val="single"/>
    </w:rPr>
  </w:style>
  <w:style w:type="character" w:customStyle="1" w:styleId="d2l-button-subtle-content">
    <w:name w:val="d2l-button-subtle-content"/>
    <w:basedOn w:val="DefaultParagraphFont"/>
    <w:rsid w:val="001C6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08277">
      <w:bodyDiv w:val="1"/>
      <w:marLeft w:val="0"/>
      <w:marRight w:val="0"/>
      <w:marTop w:val="0"/>
      <w:marBottom w:val="0"/>
      <w:divBdr>
        <w:top w:val="none" w:sz="0" w:space="0" w:color="auto"/>
        <w:left w:val="none" w:sz="0" w:space="0" w:color="auto"/>
        <w:bottom w:val="none" w:sz="0" w:space="0" w:color="auto"/>
        <w:right w:val="none" w:sz="0" w:space="0" w:color="auto"/>
      </w:divBdr>
      <w:divsChild>
        <w:div w:id="1055465310">
          <w:marLeft w:val="0"/>
          <w:marRight w:val="0"/>
          <w:marTop w:val="0"/>
          <w:marBottom w:val="0"/>
          <w:divBdr>
            <w:top w:val="none" w:sz="0" w:space="0" w:color="auto"/>
            <w:left w:val="none" w:sz="0" w:space="0" w:color="auto"/>
            <w:bottom w:val="none" w:sz="0" w:space="0" w:color="auto"/>
            <w:right w:val="none" w:sz="0" w:space="0" w:color="auto"/>
          </w:divBdr>
          <w:divsChild>
            <w:div w:id="4246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saintleo.idm.oclc.org/10.2307/25470" TargetMode="External"/><Relationship Id="rId3" Type="http://schemas.openxmlformats.org/officeDocument/2006/relationships/webSettings" Target="webSettings.xml"/><Relationship Id="rId7" Type="http://schemas.openxmlformats.org/officeDocument/2006/relationships/hyperlink" Target="https://www.mindtools.com/pages/article/human-motivation-theory.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saintleo.idm.oclc.org/10.2307/255194" TargetMode="External"/><Relationship Id="rId11" Type="http://schemas.openxmlformats.org/officeDocument/2006/relationships/theme" Target="theme/theme1.xml"/><Relationship Id="rId5" Type="http://schemas.openxmlformats.org/officeDocument/2006/relationships/hyperlink" Target="https://hbr.org/2017/05/work-friends-make-us-more-productive-except-when-they-stress-us-out" TargetMode="External"/><Relationship Id="rId10" Type="http://schemas.openxmlformats.org/officeDocument/2006/relationships/fontTable" Target="fontTable.xml"/><Relationship Id="rId4" Type="http://schemas.openxmlformats.org/officeDocument/2006/relationships/hyperlink" Target="https://doi-org.saintleo.idm.oclc.org/10.1080/08069880410001692210" TargetMode="External"/><Relationship Id="rId9" Type="http://schemas.openxmlformats.org/officeDocument/2006/relationships/hyperlink" Target="https://doi-org.saintleo.idm.oclc.org/10.1111/j.0965-075X.2003.0025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2019-10-17T03:06:00Z</dcterms:created>
  <dcterms:modified xsi:type="dcterms:W3CDTF">2019-10-17T03:07:00Z</dcterms:modified>
</cp:coreProperties>
</file>